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08" w:rsidRDefault="008E7671">
      <w:pPr>
        <w:spacing w:after="200" w:line="240" w:lineRule="auto"/>
        <w:ind w:rightChars="1352" w:right="2974"/>
        <w:jc w:val="both"/>
        <w:rPr>
          <w:rFonts w:ascii="Calibri" w:hAnsi="Calibri" w:cs="Calibri"/>
          <w:b/>
          <w:sz w:val="24"/>
          <w:szCs w:val="24"/>
        </w:rPr>
      </w:pPr>
      <w:bookmarkStart w:id="0" w:name="OLE_LINK17"/>
      <w:r>
        <w:rPr>
          <w:rFonts w:ascii="Calibri" w:hAnsi="Calibri"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-38100</wp:posOffset>
            </wp:positionV>
            <wp:extent cx="1721485" cy="2030095"/>
            <wp:effectExtent l="0" t="0" r="12065" b="8255"/>
            <wp:wrapSquare wrapText="bothSides"/>
            <wp:docPr id="1" name="Изображение 1" descr="ETIZ Stan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ETIZ Standar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  <w:szCs w:val="24"/>
        </w:rPr>
        <w:t xml:space="preserve">Наименование продукции: </w:t>
      </w:r>
    </w:p>
    <w:p w:rsidR="00244A08" w:rsidRDefault="008E7671">
      <w:pPr>
        <w:spacing w:after="200" w:line="240" w:lineRule="auto"/>
        <w:ind w:rightChars="1352" w:right="297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Тепло- звукоизоляция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паростекло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ETIZ</w:t>
      </w:r>
      <w:r>
        <w:rPr>
          <w:rStyle w:val="fontstyle01"/>
          <w:rFonts w:ascii="Calibri" w:hAnsi="Calibri" w:cs="Calibri"/>
          <w:color w:val="000000" w:themeColor="text1"/>
          <w:sz w:val="24"/>
          <w:szCs w:val="24"/>
          <w:lang w:eastAsia="zh-CN"/>
        </w:rPr>
        <w:t>®</w:t>
      </w:r>
      <w:r>
        <w:rPr>
          <w:rFonts w:ascii="Calibri" w:hAnsi="Calibri" w:cs="Calibri"/>
          <w:b/>
          <w:bCs/>
          <w:sz w:val="24"/>
          <w:szCs w:val="24"/>
        </w:rPr>
        <w:t xml:space="preserve"> Стандарт 120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плотностью 120 кг/м3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br/>
      </w:r>
      <w:proofErr w:type="spellStart"/>
      <w:r>
        <w:rPr>
          <w:rFonts w:ascii="Calibri" w:hAnsi="Calibri" w:cs="Calibri"/>
          <w:sz w:val="24"/>
          <w:szCs w:val="24"/>
        </w:rPr>
        <w:t>размеры</w:t>
      </w:r>
      <w:r>
        <w:rPr>
          <w:rFonts w:ascii="Calibri" w:hAnsi="Calibri" w:cs="Calibri"/>
          <w:sz w:val="24"/>
          <w:szCs w:val="24"/>
        </w:rPr>
        <w:t>плит</w:t>
      </w:r>
      <w:r>
        <w:rPr>
          <w:rFonts w:ascii="Calibri" w:hAnsi="Calibri" w:cs="Calibri"/>
          <w:sz w:val="24"/>
          <w:szCs w:val="24"/>
        </w:rPr>
        <w:t>ы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600х600х100 мм, </w:t>
      </w:r>
      <w:r>
        <w:rPr>
          <w:rFonts w:ascii="Calibri" w:hAnsi="Calibri" w:cs="Calibri"/>
          <w:sz w:val="24"/>
          <w:szCs w:val="24"/>
        </w:rPr>
        <w:br/>
        <w:t>в упаковке</w:t>
      </w:r>
      <w:proofErr w:type="gramStart"/>
      <w:r>
        <w:rPr>
          <w:rFonts w:ascii="Calibri" w:hAnsi="Calibri" w:cs="Calibri"/>
          <w:sz w:val="24"/>
          <w:szCs w:val="24"/>
        </w:rPr>
        <w:t>2</w:t>
      </w:r>
      <w:proofErr w:type="gramEnd"/>
      <w:r>
        <w:rPr>
          <w:rFonts w:ascii="Calibri" w:hAnsi="Calibri" w:cs="Calibri"/>
          <w:sz w:val="24"/>
          <w:szCs w:val="24"/>
        </w:rPr>
        <w:t xml:space="preserve"> плиты, 0,72 кв.м.</w:t>
      </w:r>
      <w:bookmarkStart w:id="1" w:name="OLE_LINK2"/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Calibri" w:hAnsi="Calibri" w:cs="Calibri"/>
          <w:bCs/>
          <w:sz w:val="24"/>
          <w:szCs w:val="24"/>
        </w:rPr>
        <w:t>ес брутто: 9,8 кг.</w:t>
      </w:r>
      <w:bookmarkStart w:id="2" w:name="_GoBack"/>
      <w:bookmarkEnd w:id="2"/>
    </w:p>
    <w:p w:rsidR="00244A08" w:rsidRDefault="008E7671">
      <w:pPr>
        <w:spacing w:after="200" w:line="240" w:lineRule="auto"/>
        <w:ind w:rightChars="1152" w:right="2534"/>
        <w:jc w:val="both"/>
        <w:rPr>
          <w:rFonts w:ascii="Calibri" w:hAnsi="Calibri" w:cs="Calibri"/>
          <w:sz w:val="24"/>
          <w:szCs w:val="24"/>
        </w:rPr>
      </w:pPr>
      <w:bookmarkStart w:id="3" w:name="OLE_LINK16"/>
      <w:bookmarkEnd w:id="1"/>
      <w:r>
        <w:rPr>
          <w:rFonts w:ascii="Calibri" w:hAnsi="Calibri" w:cs="Calibri"/>
          <w:sz w:val="24"/>
          <w:szCs w:val="24"/>
        </w:rPr>
        <w:t>Минеральная негорючая тепло-</w:t>
      </w:r>
      <w:r>
        <w:rPr>
          <w:rFonts w:ascii="Calibri" w:hAnsi="Calibri" w:cs="Calibri"/>
          <w:sz w:val="24"/>
          <w:szCs w:val="24"/>
        </w:rPr>
        <w:t xml:space="preserve"> и</w:t>
      </w:r>
      <w:r>
        <w:rPr>
          <w:rFonts w:ascii="Calibri" w:hAnsi="Calibri" w:cs="Calibri"/>
          <w:sz w:val="24"/>
          <w:szCs w:val="24"/>
        </w:rPr>
        <w:t xml:space="preserve"> звукоизоляция, не теряющая своих </w:t>
      </w:r>
      <w:bookmarkStart w:id="4" w:name="OLE_LINK36"/>
      <w:bookmarkStart w:id="5" w:name="OLE_LINK37"/>
      <w:bookmarkStart w:id="6" w:name="OLE_LINK38"/>
      <w:r>
        <w:rPr>
          <w:rFonts w:ascii="Calibri" w:hAnsi="Calibri" w:cs="Calibri"/>
          <w:sz w:val="24"/>
          <w:szCs w:val="24"/>
        </w:rPr>
        <w:t xml:space="preserve">геометрических и теплоизоляционных </w:t>
      </w:r>
      <w:bookmarkEnd w:id="4"/>
      <w:bookmarkEnd w:id="5"/>
      <w:bookmarkEnd w:id="6"/>
      <w:r>
        <w:rPr>
          <w:rFonts w:ascii="Calibri" w:hAnsi="Calibri" w:cs="Calibri"/>
          <w:sz w:val="24"/>
          <w:szCs w:val="24"/>
        </w:rPr>
        <w:t>свойств на протяжении всего срока эксплуатации.</w:t>
      </w:r>
    </w:p>
    <w:p w:rsidR="00244A08" w:rsidRDefault="008E7671">
      <w:pPr>
        <w:spacing w:after="200" w:line="240" w:lineRule="auto"/>
        <w:ind w:rightChars="1152" w:right="25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Тепл</w:t>
      </w:r>
      <w:proofErr w:type="gramStart"/>
      <w:r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звуко</w:t>
      </w:r>
      <w:proofErr w:type="spellEnd"/>
      <w:r>
        <w:rPr>
          <w:rFonts w:ascii="Calibri" w:hAnsi="Calibri" w:cs="Calibri"/>
          <w:sz w:val="24"/>
          <w:szCs w:val="24"/>
        </w:rPr>
        <w:t xml:space="preserve">-, </w:t>
      </w:r>
      <w:r>
        <w:rPr>
          <w:rFonts w:ascii="Calibri" w:hAnsi="Calibri" w:cs="Calibri"/>
          <w:sz w:val="24"/>
          <w:szCs w:val="24"/>
        </w:rPr>
        <w:t>огнезащитный материал, имеет жесткую пористую структуру, при монтаже не подвержен деформации в месте механического крепления, следствием чего имеет постоянны</w:t>
      </w:r>
      <w:r>
        <w:rPr>
          <w:rFonts w:ascii="Calibri" w:hAnsi="Calibri" w:cs="Calibri"/>
          <w:sz w:val="24"/>
          <w:szCs w:val="24"/>
        </w:rPr>
        <w:t xml:space="preserve">й коэффициент теплопроводности, звукоизоляции и звукопоглощения. </w:t>
      </w:r>
    </w:p>
    <w:p w:rsidR="00244A08" w:rsidRDefault="008E7671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Преимущества материала:</w:t>
      </w:r>
    </w:p>
    <w:p w:rsidR="00244A08" w:rsidRDefault="008E7671">
      <w:pPr>
        <w:pStyle w:val="a8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Теплоизоляция, огнезащита и звукоизоляция в одном материале</w:t>
      </w:r>
    </w:p>
    <w:p w:rsidR="00244A08" w:rsidRDefault="008E7671">
      <w:pPr>
        <w:pStyle w:val="a8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Минеральный 100% природный материал</w:t>
      </w:r>
    </w:p>
    <w:p w:rsidR="00244A08" w:rsidRDefault="008E7671">
      <w:pPr>
        <w:pStyle w:val="a8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Легко обрабатывается ручным инструментом</w:t>
      </w:r>
    </w:p>
    <w:p w:rsidR="00244A08" w:rsidRDefault="008E7671">
      <w:pPr>
        <w:pStyle w:val="a8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Биостойкий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(нет плесени, нет </w:t>
      </w:r>
      <w:r>
        <w:rPr>
          <w:rFonts w:ascii="Calibri" w:eastAsia="Calibri" w:hAnsi="Calibri" w:cs="Calibri"/>
          <w:sz w:val="24"/>
          <w:szCs w:val="24"/>
        </w:rPr>
        <w:t>грызунов)</w:t>
      </w:r>
    </w:p>
    <w:p w:rsidR="00244A08" w:rsidRDefault="008E7671">
      <w:pPr>
        <w:pStyle w:val="a8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Дышащий материал</w:t>
      </w:r>
      <w:proofErr w:type="gramStart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в</w:t>
      </w:r>
      <w:proofErr w:type="gramEnd"/>
      <w:r>
        <w:rPr>
          <w:rFonts w:ascii="Calibri" w:eastAsia="Calibri" w:hAnsi="Calibri" w:cs="Calibri"/>
          <w:sz w:val="24"/>
          <w:szCs w:val="24"/>
        </w:rPr>
        <w:t>ысыхает в естественных условиях</w:t>
      </w:r>
    </w:p>
    <w:p w:rsidR="00244A08" w:rsidRDefault="008E7671">
      <w:pPr>
        <w:pStyle w:val="a8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Нет усадки на протяжении срока эксплуатации здания.</w:t>
      </w:r>
    </w:p>
    <w:bookmarkEnd w:id="0"/>
    <w:bookmarkEnd w:id="3"/>
    <w:p w:rsidR="00244A08" w:rsidRDefault="008E7671">
      <w:pPr>
        <w:spacing w:after="20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Технические характеристики:</w:t>
      </w:r>
    </w:p>
    <w:tbl>
      <w:tblPr>
        <w:tblStyle w:val="PlainTable3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5072"/>
      </w:tblGrid>
      <w:tr w:rsidR="00244A08" w:rsidTr="00244A08">
        <w:trPr>
          <w:cnfStyle w:val="100000000000"/>
          <w:trHeight w:val="640"/>
        </w:trPr>
        <w:tc>
          <w:tcPr>
            <w:cnfStyle w:val="001000000100"/>
            <w:tcW w:w="4058" w:type="dxa"/>
            <w:vAlign w:val="center"/>
          </w:tcPr>
          <w:p w:rsidR="00244A08" w:rsidRDefault="008E7671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US"/>
              </w:rPr>
              <w:t>С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остав</w:t>
            </w:r>
            <w:proofErr w:type="spellEnd"/>
          </w:p>
        </w:tc>
        <w:tc>
          <w:tcPr>
            <w:tcW w:w="5072" w:type="dxa"/>
            <w:vAlign w:val="center"/>
          </w:tcPr>
          <w:p w:rsidR="00244A08" w:rsidRDefault="008E7671">
            <w:pPr>
              <w:spacing w:after="200" w:line="240" w:lineRule="auto"/>
              <w:jc w:val="both"/>
              <w:cnfStyle w:val="100000000000"/>
              <w:rPr>
                <w:rFonts w:ascii="Calibri" w:hAnsi="Calibri" w:cs="Calibri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Жидкое натриевое стекло, ПАВ, вода, наполнитель, отвердитель</w:t>
            </w:r>
          </w:p>
        </w:tc>
      </w:tr>
      <w:tr w:rsidR="00244A08" w:rsidTr="00244A08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244A08" w:rsidRDefault="008E7671">
            <w:pPr>
              <w:tabs>
                <w:tab w:val="center" w:pos="1921"/>
              </w:tabs>
              <w:spacing w:after="200" w:line="240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</w:rPr>
            </w:pPr>
            <w:bookmarkStart w:id="7" w:name="_Hlk439190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Размеры материала</w:t>
            </w:r>
          </w:p>
        </w:tc>
        <w:tc>
          <w:tcPr>
            <w:tcW w:w="5072" w:type="dxa"/>
            <w:shd w:val="clear" w:color="auto" w:fill="F2F2F2" w:themeFill="background1" w:themeFillShade="F2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00х600х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0 мм</w:t>
            </w:r>
          </w:p>
        </w:tc>
      </w:tr>
      <w:bookmarkEnd w:id="7"/>
      <w:tr w:rsidR="00244A08" w:rsidTr="00244A08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244A08" w:rsidRDefault="008E7671">
            <w:pPr>
              <w:tabs>
                <w:tab w:val="center" w:pos="1921"/>
              </w:tabs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П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лотность</w:t>
            </w:r>
            <w:proofErr w:type="spellEnd"/>
          </w:p>
        </w:tc>
        <w:tc>
          <w:tcPr>
            <w:tcW w:w="5072" w:type="dxa"/>
            <w:vAlign w:val="center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120 кг/м³</w:t>
            </w:r>
          </w:p>
        </w:tc>
      </w:tr>
      <w:tr w:rsidR="00244A08" w:rsidTr="00244A08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244A08" w:rsidRDefault="008E7671">
            <w:pPr>
              <w:tabs>
                <w:tab w:val="center" w:pos="1921"/>
              </w:tabs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Класс горючести</w:t>
            </w:r>
          </w:p>
        </w:tc>
        <w:tc>
          <w:tcPr>
            <w:tcW w:w="5072" w:type="dxa"/>
            <w:shd w:val="clear" w:color="auto" w:fill="F2F2F2" w:themeFill="background1" w:themeFillShade="F2"/>
            <w:vAlign w:val="center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Г</w:t>
            </w:r>
          </w:p>
        </w:tc>
      </w:tr>
      <w:tr w:rsidR="00244A08" w:rsidTr="00244A08">
        <w:trPr>
          <w:trHeight w:val="20"/>
        </w:trPr>
        <w:tc>
          <w:tcPr>
            <w:cnfStyle w:val="001000000000"/>
            <w:tcW w:w="4058" w:type="dxa"/>
          </w:tcPr>
          <w:p w:rsidR="00244A08" w:rsidRDefault="008E7671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  <w:lang w:val="en-US"/>
              </w:rPr>
            </w:pPr>
            <w:bookmarkStart w:id="8" w:name="_Hlk439201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Площадь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плит</w:t>
            </w:r>
            <w:proofErr w:type="spellEnd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упаковке</w:t>
            </w:r>
            <w:proofErr w:type="spellEnd"/>
          </w:p>
        </w:tc>
        <w:tc>
          <w:tcPr>
            <w:tcW w:w="5072" w:type="dxa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,72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кв.м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bookmarkEnd w:id="8"/>
      <w:tr w:rsidR="00244A08" w:rsidTr="00244A08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244A08" w:rsidRDefault="008E7671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Количество плит в упаковке</w:t>
            </w:r>
          </w:p>
        </w:tc>
        <w:tc>
          <w:tcPr>
            <w:tcW w:w="5072" w:type="dxa"/>
            <w:shd w:val="clear" w:color="auto" w:fill="F2F2F2" w:themeFill="background1" w:themeFillShade="F2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шт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244A08" w:rsidTr="00244A08">
        <w:trPr>
          <w:trHeight w:val="20"/>
        </w:trPr>
        <w:tc>
          <w:tcPr>
            <w:cnfStyle w:val="001000000000"/>
            <w:tcW w:w="4058" w:type="dxa"/>
          </w:tcPr>
          <w:p w:rsidR="00244A08" w:rsidRDefault="008E7671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bookmarkStart w:id="9" w:name="_Hlk1428379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Общая площадь плит на паллете </w:t>
            </w:r>
          </w:p>
        </w:tc>
        <w:tc>
          <w:tcPr>
            <w:tcW w:w="5072" w:type="dxa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21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,60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кв.м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244A08" w:rsidTr="00244A08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244A08" w:rsidRDefault="008E7671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Упаковок</w:t>
            </w:r>
            <w:proofErr w:type="spellEnd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паллете</w:t>
            </w:r>
            <w:proofErr w:type="spellEnd"/>
          </w:p>
        </w:tc>
        <w:tc>
          <w:tcPr>
            <w:tcW w:w="5072" w:type="dxa"/>
            <w:shd w:val="clear" w:color="auto" w:fill="F2F2F2" w:themeFill="background1" w:themeFillShade="F2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шт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bookmarkEnd w:id="9"/>
      <w:tr w:rsidR="00244A08" w:rsidTr="00244A08">
        <w:trPr>
          <w:trHeight w:val="1118"/>
        </w:trPr>
        <w:tc>
          <w:tcPr>
            <w:cnfStyle w:val="001000000000"/>
            <w:tcW w:w="4058" w:type="dxa"/>
          </w:tcPr>
          <w:p w:rsidR="00244A08" w:rsidRDefault="008E7671">
            <w:pPr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Коэфф</w:t>
            </w:r>
            <w:proofErr w:type="spellEnd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. Теплопроводности</w:t>
            </w:r>
          </w:p>
        </w:tc>
        <w:tc>
          <w:tcPr>
            <w:tcW w:w="5072" w:type="dxa"/>
          </w:tcPr>
          <w:p w:rsidR="00244A08" w:rsidRDefault="008E7671">
            <w:pPr>
              <w:spacing w:after="200" w:line="240" w:lineRule="auto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λ10 =0,042 Вт/м*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br/>
              <w:t>λ25 =0,045 Вт/м*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br/>
            </w:r>
            <w:bookmarkStart w:id="10" w:name="OLE_LINK4"/>
            <w:bookmarkStart w:id="11" w:name="OLE_LINK6"/>
            <w:bookmarkStart w:id="12" w:name="OLE_LINK5"/>
            <w:bookmarkStart w:id="13" w:name="OLE_LINK3"/>
            <w:bookmarkStart w:id="14" w:name="OLE_LINK7"/>
            <w:r>
              <w:rPr>
                <w:rFonts w:ascii="Calibri" w:hAnsi="Calibri" w:cs="Calibri"/>
                <w:sz w:val="24"/>
                <w:szCs w:val="24"/>
              </w:rPr>
              <w:t>λ</w:t>
            </w:r>
            <w:bookmarkEnd w:id="10"/>
            <w:bookmarkEnd w:id="11"/>
            <w:bookmarkEnd w:id="12"/>
            <w:bookmarkEnd w:id="13"/>
            <w:bookmarkEnd w:id="14"/>
            <w:r>
              <w:rPr>
                <w:rFonts w:ascii="Calibri" w:hAnsi="Calibri" w:cs="Calibri"/>
                <w:sz w:val="24"/>
                <w:szCs w:val="24"/>
              </w:rPr>
              <w:t>а =0,048 Вт/м*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br/>
              <w:t xml:space="preserve">λв </w:t>
            </w:r>
            <w:r>
              <w:rPr>
                <w:rFonts w:ascii="Calibri" w:hAnsi="Calibri" w:cs="Calibri"/>
                <w:sz w:val="24"/>
                <w:szCs w:val="24"/>
              </w:rPr>
              <w:t>=0,052 Вт/м*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</w:p>
        </w:tc>
      </w:tr>
      <w:tr w:rsidR="00244A08" w:rsidTr="00244A08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244A08" w:rsidRDefault="008E7671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</w:rPr>
            </w:pPr>
            <w:bookmarkStart w:id="15" w:name="_Hlk439207"/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Паропроницаемость</w:t>
            </w:r>
            <w:proofErr w:type="spellEnd"/>
          </w:p>
        </w:tc>
        <w:tc>
          <w:tcPr>
            <w:tcW w:w="5072" w:type="dxa"/>
            <w:shd w:val="clear" w:color="auto" w:fill="F2F2F2" w:themeFill="background1" w:themeFillShade="F2"/>
            <w:vAlign w:val="center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0,55мг/(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мч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а)</w:t>
            </w:r>
          </w:p>
        </w:tc>
      </w:tr>
      <w:bookmarkEnd w:id="15"/>
      <w:tr w:rsidR="00244A08" w:rsidTr="00244A08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244A08" w:rsidRDefault="008E7671">
            <w:pPr>
              <w:spacing w:after="200" w:line="240" w:lineRule="auto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lastRenderedPageBreak/>
              <w:t xml:space="preserve">Прочность на сжатие </w:t>
            </w:r>
          </w:p>
        </w:tc>
        <w:tc>
          <w:tcPr>
            <w:tcW w:w="5072" w:type="dxa"/>
            <w:vAlign w:val="center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0,27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МП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</w:p>
        </w:tc>
      </w:tr>
      <w:tr w:rsidR="00244A08" w:rsidTr="00244A08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244A08" w:rsidRDefault="008E7671">
            <w:pPr>
              <w:spacing w:after="200" w:line="240" w:lineRule="auto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Соответствие нормативным документам</w:t>
            </w:r>
          </w:p>
        </w:tc>
        <w:tc>
          <w:tcPr>
            <w:tcW w:w="5072" w:type="dxa"/>
            <w:shd w:val="clear" w:color="auto" w:fill="F2F2F2" w:themeFill="background1" w:themeFillShade="F2"/>
            <w:vAlign w:val="center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ТУ 23.99.19-004-50954087-2016</w:t>
            </w:r>
          </w:p>
        </w:tc>
      </w:tr>
      <w:tr w:rsidR="00244A08" w:rsidTr="00244A08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244A08" w:rsidRDefault="008E7671">
            <w:pPr>
              <w:spacing w:after="200" w:line="240" w:lineRule="auto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 подтверждающие качественные характеристики материала:</w:t>
            </w:r>
          </w:p>
        </w:tc>
        <w:tc>
          <w:tcPr>
            <w:tcW w:w="5072" w:type="dxa"/>
            <w:vAlign w:val="center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Техническое свидетельство Минстрой РФ №5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693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от 1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9февраля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201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года</w:t>
            </w:r>
          </w:p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Сертификат соответствия «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ФЦС-стройсертификация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» № ФЦС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1447.ПР01.0025</w:t>
            </w:r>
          </w:p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Заключение о результатах акустических испытаний НИИСФ РААСН</w:t>
            </w:r>
          </w:p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Сертификат соответствия Огнезащита №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>-RU.ЧС13.В.01206</w:t>
            </w:r>
          </w:p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Испытания на морозостойкость «НПЦ Оникс»</w:t>
            </w:r>
          </w:p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Экс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пертное заключение «СЭС Центр гигиены»</w:t>
            </w:r>
          </w:p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Сертификат соответствия классу пожарной опасности от ПОЖТЕСТ ВНИИПО МЧС №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.ЧС13.В.01137</w:t>
            </w:r>
          </w:p>
        </w:tc>
      </w:tr>
      <w:tr w:rsidR="00244A08" w:rsidTr="00244A08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244A08" w:rsidRDefault="008E7671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Страна-производитель</w:t>
            </w:r>
          </w:p>
        </w:tc>
        <w:tc>
          <w:tcPr>
            <w:tcW w:w="5072" w:type="dxa"/>
            <w:shd w:val="clear" w:color="auto" w:fill="F2F2F2" w:themeFill="background1" w:themeFillShade="F2"/>
            <w:vAlign w:val="center"/>
          </w:tcPr>
          <w:p w:rsidR="00244A08" w:rsidRDefault="008E7671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Россия</w:t>
            </w:r>
          </w:p>
        </w:tc>
      </w:tr>
    </w:tbl>
    <w:p w:rsidR="00244A08" w:rsidRDefault="00244A08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</w:p>
    <w:p w:rsidR="00244A08" w:rsidRDefault="008E7671">
      <w:pPr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6" w:name="_Hlk2620429"/>
      <w:r>
        <w:rPr>
          <w:rFonts w:ascii="Calibri" w:hAnsi="Calibri" w:cs="Calibri"/>
          <w:b/>
          <w:bCs/>
          <w:sz w:val="24"/>
          <w:szCs w:val="24"/>
        </w:rPr>
        <w:t>Области применения:</w:t>
      </w:r>
    </w:p>
    <w:p w:rsidR="00244A08" w:rsidRDefault="008E7671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Тепл</w:t>
      </w:r>
      <w:proofErr w:type="gramStart"/>
      <w:r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звуко</w:t>
      </w:r>
      <w:proofErr w:type="spellEnd"/>
      <w:r>
        <w:rPr>
          <w:rFonts w:ascii="Calibri" w:hAnsi="Calibri" w:cs="Calibri"/>
          <w:sz w:val="24"/>
          <w:szCs w:val="24"/>
        </w:rPr>
        <w:t>-,</w:t>
      </w:r>
      <w:r>
        <w:rPr>
          <w:rFonts w:ascii="Calibri" w:hAnsi="Calibri" w:cs="Calibri"/>
          <w:sz w:val="24"/>
          <w:szCs w:val="24"/>
        </w:rPr>
        <w:t xml:space="preserve"> огнезащитный </w:t>
      </w:r>
      <w:proofErr w:type="spellStart"/>
      <w:r>
        <w:rPr>
          <w:rFonts w:ascii="Calibri" w:hAnsi="Calibri" w:cs="Calibri"/>
          <w:sz w:val="24"/>
          <w:szCs w:val="24"/>
        </w:rPr>
        <w:t>материал</w:t>
      </w:r>
      <w:r>
        <w:rPr>
          <w:rFonts w:ascii="Calibri" w:hAnsi="Calibri" w:cs="Calibri"/>
          <w:b/>
          <w:bCs/>
          <w:sz w:val="24"/>
          <w:szCs w:val="24"/>
        </w:rPr>
        <w:t>паростекло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ETIZ</w:t>
      </w:r>
      <w:r>
        <w:rPr>
          <w:rStyle w:val="fontstyle01"/>
          <w:rFonts w:ascii="Calibri" w:hAnsi="Calibri" w:cs="Calibri"/>
          <w:color w:val="000000" w:themeColor="text1"/>
          <w:sz w:val="24"/>
          <w:szCs w:val="24"/>
          <w:lang w:eastAsia="zh-CN"/>
        </w:rPr>
        <w:t>®</w:t>
      </w:r>
      <w:r>
        <w:rPr>
          <w:rFonts w:ascii="Calibri" w:hAnsi="Calibri" w:cs="Calibri"/>
          <w:b/>
          <w:bCs/>
          <w:sz w:val="24"/>
          <w:szCs w:val="24"/>
        </w:rPr>
        <w:t xml:space="preserve"> Стандарт 120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может применяться в следующих узлах зданий:</w:t>
      </w:r>
    </w:p>
    <w:p w:rsidR="00244A08" w:rsidRDefault="008E7671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eastAsia="Segoe UI" w:cs="Calibri"/>
          <w:color w:val="000000"/>
          <w:sz w:val="24"/>
          <w:szCs w:val="24"/>
          <w:lang/>
        </w:rPr>
      </w:pPr>
      <w:r>
        <w:rPr>
          <w:rFonts w:eastAsia="Segoe UI" w:cs="Calibri"/>
          <w:color w:val="000000"/>
          <w:sz w:val="24"/>
          <w:szCs w:val="24"/>
          <w:lang/>
        </w:rPr>
        <w:t>Скатная кровля и мансарда;</w:t>
      </w:r>
    </w:p>
    <w:p w:rsidR="00244A08" w:rsidRDefault="008E7671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eastAsia="Segoe UI" w:cs="Calibri"/>
          <w:color w:val="000000"/>
          <w:sz w:val="24"/>
          <w:szCs w:val="24"/>
          <w:lang/>
        </w:rPr>
      </w:pPr>
      <w:r>
        <w:rPr>
          <w:rFonts w:eastAsia="Segoe UI" w:cs="Calibri"/>
          <w:color w:val="000000"/>
          <w:sz w:val="24"/>
          <w:szCs w:val="24"/>
          <w:lang/>
        </w:rPr>
        <w:t>Трехслойная кирпичная кладка;</w:t>
      </w:r>
    </w:p>
    <w:p w:rsidR="00244A08" w:rsidRDefault="008E7671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эксплуатируемая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плоская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кровля</w:t>
      </w:r>
      <w:proofErr w:type="spellEnd"/>
    </w:p>
    <w:p w:rsidR="00244A08" w:rsidRDefault="008E7671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eastAsia="Segoe UI" w:cs="Calibri"/>
          <w:color w:val="000000"/>
          <w:sz w:val="24"/>
          <w:szCs w:val="24"/>
          <w:lang/>
        </w:rPr>
      </w:pPr>
      <w:r>
        <w:rPr>
          <w:rFonts w:eastAsia="Segoe UI" w:cs="Calibri"/>
          <w:color w:val="000000"/>
          <w:sz w:val="24"/>
          <w:szCs w:val="24"/>
          <w:lang/>
        </w:rPr>
        <w:t>Деревянные стены с обшивкой снаружи;</w:t>
      </w:r>
    </w:p>
    <w:p w:rsidR="00244A08" w:rsidRDefault="008E7671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eastAsia="Segoe UI" w:cs="Calibri"/>
          <w:color w:val="000000"/>
          <w:sz w:val="24"/>
          <w:szCs w:val="24"/>
          <w:lang w:val="ru-RU"/>
        </w:rPr>
      </w:pPr>
      <w:r>
        <w:rPr>
          <w:rFonts w:eastAsia="Segoe UI" w:cs="Calibri"/>
          <w:color w:val="000000"/>
          <w:sz w:val="24"/>
          <w:szCs w:val="24"/>
          <w:lang/>
        </w:rPr>
        <w:t>Каркасные стены;</w:t>
      </w:r>
    </w:p>
    <w:p w:rsidR="00244A08" w:rsidRDefault="008E7671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eastAsia="Segoe UI" w:cs="Calibri"/>
          <w:color w:val="000000"/>
          <w:sz w:val="24"/>
          <w:szCs w:val="24"/>
          <w:lang w:val="ru-RU"/>
        </w:rPr>
        <w:t>Перегородки;</w:t>
      </w:r>
    </w:p>
    <w:p w:rsidR="00244A08" w:rsidRDefault="008E7671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eastAsia="Segoe UI" w:cs="Calibri"/>
          <w:color w:val="000000"/>
          <w:sz w:val="24"/>
          <w:szCs w:val="24"/>
          <w:lang/>
        </w:rPr>
        <w:t>Межкомнатные перегородки и перекрытия   </w:t>
      </w:r>
    </w:p>
    <w:p w:rsidR="00244A08" w:rsidRDefault="008E7671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eastAsia="Segoe UI" w:cs="Calibri"/>
          <w:color w:val="000000"/>
          <w:sz w:val="24"/>
          <w:szCs w:val="24"/>
          <w:lang/>
        </w:rPr>
        <w:t xml:space="preserve">Утепление </w:t>
      </w:r>
      <w:r>
        <w:rPr>
          <w:rFonts w:eastAsia="Segoe UI" w:cs="Calibri"/>
          <w:color w:val="000000"/>
          <w:sz w:val="24"/>
          <w:szCs w:val="24"/>
          <w:lang/>
        </w:rPr>
        <w:t>балкона;</w:t>
      </w:r>
    </w:p>
    <w:p w:rsidR="00244A08" w:rsidRDefault="008E7671">
      <w:pPr>
        <w:pStyle w:val="listparagraphcxspmiddle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eastAsia="Segoe UI" w:cs="Calibri"/>
          <w:color w:val="000000"/>
          <w:sz w:val="24"/>
          <w:szCs w:val="24"/>
          <w:lang/>
        </w:rPr>
        <w:t>Теплоизоляция бани;</w:t>
      </w:r>
      <w:r>
        <w:rPr>
          <w:rFonts w:eastAsia="Segoe UI" w:cs="Calibri"/>
          <w:color w:val="000000"/>
          <w:sz w:val="24"/>
          <w:szCs w:val="24"/>
          <w:lang w:eastAsia="en-US"/>
        </w:rPr>
        <w:t> </w:t>
      </w:r>
    </w:p>
    <w:bookmarkEnd w:id="16"/>
    <w:p w:rsidR="00244A08" w:rsidRDefault="008E7671">
      <w:pPr>
        <w:spacing w:after="20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Детали:</w:t>
      </w:r>
    </w:p>
    <w:p w:rsidR="00244A08" w:rsidRDefault="008E7671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Положительные особенности при монтаже материала:</w:t>
      </w:r>
    </w:p>
    <w:p w:rsidR="00244A08" w:rsidRDefault="008E7671">
      <w:pPr>
        <w:pStyle w:val="a8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Плиты легко пилятся пилой по дереву и монтируются за счет своей жесткой структуры. </w:t>
      </w:r>
    </w:p>
    <w:p w:rsidR="00244A08" w:rsidRDefault="008E7671">
      <w:pPr>
        <w:pStyle w:val="a8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Для монтажа подходит любой вид клея на цементной основе. </w:t>
      </w:r>
    </w:p>
    <w:p w:rsidR="00244A08" w:rsidRDefault="008E7671">
      <w:pPr>
        <w:pStyle w:val="a8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Для грунтовки поверхности используются грунтовки глубокого проникновения </w:t>
      </w:r>
    </w:p>
    <w:p w:rsidR="00244A08" w:rsidRDefault="008E7671">
      <w:pPr>
        <w:pStyle w:val="a8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Отличная адгезия к любым материалам, легко штукатурится и красится;</w:t>
      </w:r>
    </w:p>
    <w:p w:rsidR="00244A08" w:rsidRDefault="008E7671">
      <w:pPr>
        <w:pStyle w:val="a8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Стойкий</w:t>
      </w:r>
      <w:proofErr w:type="gramEnd"/>
      <w:r>
        <w:rPr>
          <w:rFonts w:ascii="Calibri" w:hAnsi="Calibri" w:cs="Calibri"/>
          <w:sz w:val="24"/>
          <w:szCs w:val="24"/>
        </w:rPr>
        <w:t xml:space="preserve"> к агрессивному воздействию внешней среды (окисления, эрозия, перепады температур);</w:t>
      </w:r>
    </w:p>
    <w:p w:rsidR="00244A08" w:rsidRDefault="008E7671">
      <w:pPr>
        <w:pStyle w:val="a8"/>
        <w:numPr>
          <w:ilvl w:val="0"/>
          <w:numId w:val="3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 разрушается, не меня</w:t>
      </w:r>
      <w:r>
        <w:rPr>
          <w:rFonts w:ascii="Calibri" w:hAnsi="Calibri" w:cs="Calibri"/>
          <w:sz w:val="24"/>
          <w:szCs w:val="24"/>
        </w:rPr>
        <w:t>ет своих линейных размеров и физических свойств на протяжении всего срока эксплуатации. При намокании, материал высыхает в естественных условиях, без потери физических свойств, даже после цикла заморозки;</w:t>
      </w:r>
    </w:p>
    <w:p w:rsidR="00244A08" w:rsidRDefault="00244A08">
      <w:pPr>
        <w:spacing w:after="20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244A08" w:rsidRDefault="00244A08">
      <w:pPr>
        <w:spacing w:after="200" w:line="240" w:lineRule="auto"/>
        <w:ind w:left="360"/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244A08" w:rsidSect="0024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BeauSansPro-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7487"/>
    <w:multiLevelType w:val="multilevel"/>
    <w:tmpl w:val="42F874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A81C"/>
    <w:multiLevelType w:val="singleLevel"/>
    <w:tmpl w:val="62ADA8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3AC7CD1"/>
    <w:multiLevelType w:val="multilevel"/>
    <w:tmpl w:val="63AC7CD1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295AF6"/>
    <w:rsid w:val="0003585C"/>
    <w:rsid w:val="000E281A"/>
    <w:rsid w:val="001007BF"/>
    <w:rsid w:val="0015572B"/>
    <w:rsid w:val="00160F7C"/>
    <w:rsid w:val="00176C06"/>
    <w:rsid w:val="00181CD0"/>
    <w:rsid w:val="00196AAE"/>
    <w:rsid w:val="001A6279"/>
    <w:rsid w:val="002348D9"/>
    <w:rsid w:val="00244A08"/>
    <w:rsid w:val="00245128"/>
    <w:rsid w:val="00250193"/>
    <w:rsid w:val="00283933"/>
    <w:rsid w:val="00284943"/>
    <w:rsid w:val="00295AF6"/>
    <w:rsid w:val="002D4910"/>
    <w:rsid w:val="002E66B5"/>
    <w:rsid w:val="00315119"/>
    <w:rsid w:val="00320FC7"/>
    <w:rsid w:val="00347FD5"/>
    <w:rsid w:val="003663A2"/>
    <w:rsid w:val="00372C00"/>
    <w:rsid w:val="003C2B52"/>
    <w:rsid w:val="003F78C3"/>
    <w:rsid w:val="004052A5"/>
    <w:rsid w:val="00434662"/>
    <w:rsid w:val="0047114A"/>
    <w:rsid w:val="004B6E53"/>
    <w:rsid w:val="004E7E5D"/>
    <w:rsid w:val="004F727D"/>
    <w:rsid w:val="00512DF8"/>
    <w:rsid w:val="00537912"/>
    <w:rsid w:val="005819AE"/>
    <w:rsid w:val="005918D2"/>
    <w:rsid w:val="00596D02"/>
    <w:rsid w:val="005A542B"/>
    <w:rsid w:val="0061583B"/>
    <w:rsid w:val="00655543"/>
    <w:rsid w:val="006F0A30"/>
    <w:rsid w:val="00727429"/>
    <w:rsid w:val="00736CA7"/>
    <w:rsid w:val="0075124D"/>
    <w:rsid w:val="00752B39"/>
    <w:rsid w:val="00811D63"/>
    <w:rsid w:val="0081757D"/>
    <w:rsid w:val="00823843"/>
    <w:rsid w:val="00845B11"/>
    <w:rsid w:val="0088613C"/>
    <w:rsid w:val="008A20A8"/>
    <w:rsid w:val="008E74BB"/>
    <w:rsid w:val="008E7671"/>
    <w:rsid w:val="009160BA"/>
    <w:rsid w:val="00927CDD"/>
    <w:rsid w:val="00954885"/>
    <w:rsid w:val="009B04DB"/>
    <w:rsid w:val="009F1D0A"/>
    <w:rsid w:val="009F4B2A"/>
    <w:rsid w:val="00A21A52"/>
    <w:rsid w:val="00A3038E"/>
    <w:rsid w:val="00A36D25"/>
    <w:rsid w:val="00AC0DA0"/>
    <w:rsid w:val="00B52232"/>
    <w:rsid w:val="00B63924"/>
    <w:rsid w:val="00BB3738"/>
    <w:rsid w:val="00BF4AAF"/>
    <w:rsid w:val="00C52970"/>
    <w:rsid w:val="00C55664"/>
    <w:rsid w:val="00CC1EAA"/>
    <w:rsid w:val="00CD51D4"/>
    <w:rsid w:val="00D4670C"/>
    <w:rsid w:val="00DA0189"/>
    <w:rsid w:val="00DD4387"/>
    <w:rsid w:val="00E15D76"/>
    <w:rsid w:val="00E23FA2"/>
    <w:rsid w:val="00E27ED6"/>
    <w:rsid w:val="00E37665"/>
    <w:rsid w:val="00E41F77"/>
    <w:rsid w:val="00E73CFC"/>
    <w:rsid w:val="00EA1371"/>
    <w:rsid w:val="00EB2724"/>
    <w:rsid w:val="00EC3F1C"/>
    <w:rsid w:val="00EC5C16"/>
    <w:rsid w:val="00F130BF"/>
    <w:rsid w:val="00F37273"/>
    <w:rsid w:val="00F6515B"/>
    <w:rsid w:val="00FC2FB2"/>
    <w:rsid w:val="00FD6D6F"/>
    <w:rsid w:val="00FE24B6"/>
    <w:rsid w:val="2020156A"/>
    <w:rsid w:val="21FC3F20"/>
    <w:rsid w:val="52237901"/>
    <w:rsid w:val="5A4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0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4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44A08"/>
    <w:rPr>
      <w:color w:val="800080"/>
      <w:u w:val="single"/>
    </w:rPr>
  </w:style>
  <w:style w:type="character" w:styleId="a5">
    <w:name w:val="Hyperlink"/>
    <w:basedOn w:val="a0"/>
    <w:uiPriority w:val="99"/>
    <w:semiHidden/>
    <w:unhideWhenUsed/>
    <w:qFormat/>
    <w:rsid w:val="00244A08"/>
    <w:rPr>
      <w:color w:val="0000FF"/>
      <w:u w:val="single"/>
    </w:rPr>
  </w:style>
  <w:style w:type="character" w:styleId="a6">
    <w:name w:val="Strong"/>
    <w:basedOn w:val="a0"/>
    <w:uiPriority w:val="22"/>
    <w:qFormat/>
    <w:rsid w:val="00244A08"/>
    <w:rPr>
      <w:b/>
      <w:bCs/>
    </w:rPr>
  </w:style>
  <w:style w:type="table" w:styleId="a7">
    <w:name w:val="Table Grid"/>
    <w:basedOn w:val="a1"/>
    <w:uiPriority w:val="39"/>
    <w:qFormat/>
    <w:rsid w:val="0024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4A08"/>
    <w:pPr>
      <w:ind w:left="720"/>
      <w:contextualSpacing/>
    </w:pPr>
  </w:style>
  <w:style w:type="table" w:customStyle="1" w:styleId="PlainTable3">
    <w:name w:val="Plain Table 3"/>
    <w:basedOn w:val="a1"/>
    <w:uiPriority w:val="43"/>
    <w:qFormat/>
    <w:rsid w:val="00244A0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ore--info-description-text">
    <w:name w:val="more--info-description-text"/>
    <w:basedOn w:val="a"/>
    <w:rsid w:val="0024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first">
    <w:name w:val="listparagraphcxspfirst"/>
    <w:rsid w:val="00244A08"/>
    <w:pPr>
      <w:spacing w:line="254" w:lineRule="auto"/>
    </w:pPr>
    <w:rPr>
      <w:rFonts w:ascii="Calibri" w:hAnsi="Calibri"/>
      <w:sz w:val="22"/>
      <w:szCs w:val="22"/>
      <w:lang w:val="en-US" w:eastAsia="zh-CN"/>
    </w:rPr>
  </w:style>
  <w:style w:type="paragraph" w:customStyle="1" w:styleId="listparagraphcxspmiddle">
    <w:name w:val="listparagraphcxspmiddle"/>
    <w:rsid w:val="00244A08"/>
    <w:pPr>
      <w:spacing w:line="254" w:lineRule="auto"/>
    </w:pPr>
    <w:rPr>
      <w:rFonts w:ascii="Calibri" w:hAnsi="Calibri"/>
      <w:sz w:val="22"/>
      <w:szCs w:val="22"/>
      <w:lang w:val="en-US" w:eastAsia="zh-CN"/>
    </w:rPr>
  </w:style>
  <w:style w:type="character" w:customStyle="1" w:styleId="fontstyle01">
    <w:name w:val="fontstyle01"/>
    <w:qFormat/>
    <w:rsid w:val="00244A08"/>
    <w:rPr>
      <w:rFonts w:ascii="PFBeauSansPro-Light" w:eastAsia="PFBeauSansPro-Light" w:hAnsi="PFBeauSansPro-Light" w:cs="PFBeauSansPro-Light"/>
      <w:color w:val="1D3F9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Пользователь</cp:lastModifiedBy>
  <cp:revision>13</cp:revision>
  <dcterms:created xsi:type="dcterms:W3CDTF">2019-03-05T10:48:00Z</dcterms:created>
  <dcterms:modified xsi:type="dcterms:W3CDTF">2019-07-25T05:48:00Z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1049-11.2.0.8310</vt:lpwstr>
  </property>
</Properties>
</file>